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80"/>
        <w:rPr>
          <w:b/>
          <w:b/>
        </w:rPr>
      </w:pPr>
      <w:r>
        <w:rPr>
          <w:b/>
        </w:rPr>
        <w:t>Получена 15.09.09</w:t>
      </w:r>
    </w:p>
    <w:p>
      <w:pPr>
        <w:pStyle w:val="Normal"/>
        <w:spacing w:lineRule="auto" w:line="480"/>
        <w:rPr>
          <w:b/>
          <w:b/>
          <w:lang w:val="en-US"/>
        </w:rPr>
      </w:pPr>
      <w:r>
        <w:rPr>
          <w:b/>
          <w:lang w:val="en-US"/>
        </w:rPr>
        <w:t>15200</w:t>
      </w:r>
    </w:p>
    <w:p>
      <w:pPr>
        <w:pStyle w:val="Normal"/>
        <w:spacing w:lineRule="auto" w:line="480"/>
        <w:jc w:val="center"/>
        <w:rPr/>
      </w:pPr>
      <w:r>
        <w:rPr>
          <w:b/>
        </w:rPr>
        <w:t>Н.А. Подгорнова, Г.О. Гречканев</w:t>
      </w:r>
      <w:r>
        <w:rPr/>
        <w:t>, ГОУ ВПО «Нижегородская государственная медицинская академия Минздравсоцразвития»</w:t>
      </w:r>
    </w:p>
    <w:p>
      <w:pPr>
        <w:pStyle w:val="Normal"/>
        <w:shd w:fill="FFFFFF" w:val="clear"/>
        <w:spacing w:lineRule="auto" w:line="480"/>
        <w:ind w:right="22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shd w:fill="FFFFFF" w:val="clear"/>
        <w:spacing w:lineRule="auto" w:line="480"/>
        <w:ind w:right="22" w:hanging="0"/>
        <w:jc w:val="center"/>
        <w:rPr>
          <w:b/>
          <w:b/>
        </w:rPr>
      </w:pPr>
      <w:r>
        <w:rPr>
          <w:b/>
        </w:rPr>
        <w:t>Гречканев Геннадий Олегович</w:t>
      </w:r>
      <w:r>
        <w:rPr/>
        <w:t xml:space="preserve"> - </w:t>
      </w:r>
      <w:r>
        <w:rPr>
          <w:lang w:val="de-DE"/>
        </w:rPr>
        <w:t>e-mail</w:t>
      </w:r>
      <w:r>
        <w:rPr/>
        <w:t>:</w:t>
      </w:r>
      <w:r>
        <w:rPr>
          <w:lang w:val="de-DE"/>
        </w:rPr>
        <w:t xml:space="preserve"> grechkanev@nm.ru</w:t>
      </w:r>
    </w:p>
    <w:p>
      <w:pPr>
        <w:pStyle w:val="Normal"/>
        <w:shd w:fill="FFFFFF" w:val="clear"/>
        <w:spacing w:lineRule="auto" w:line="480"/>
        <w:ind w:right="22" w:hanging="0"/>
        <w:jc w:val="center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shd w:fill="FFFFFF" w:val="clear"/>
        <w:spacing w:lineRule="auto" w:line="480"/>
        <w:ind w:right="22" w:hanging="0"/>
        <w:jc w:val="center"/>
        <w:rPr>
          <w:b/>
          <w:b/>
        </w:rPr>
      </w:pPr>
      <w:r>
        <w:rPr>
          <w:b/>
        </w:rPr>
        <w:t xml:space="preserve">Влияние общей магнитотерапии на клиническую картину и показатели перекисного окисления липидов у больных с климактерическим синдромом </w:t>
      </w:r>
    </w:p>
    <w:p>
      <w:pPr>
        <w:pStyle w:val="Normal"/>
        <w:spacing w:lineRule="auto" w:line="480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spacing w:lineRule="auto" w:line="480"/>
        <w:rPr>
          <w:b/>
          <w:b/>
        </w:rPr>
      </w:pPr>
      <w:r>
        <w:rPr>
          <w:b/>
        </w:rPr>
        <w:t>Резюме.</w:t>
      </w:r>
    </w:p>
    <w:p>
      <w:pPr>
        <w:pStyle w:val="Normal"/>
        <w:spacing w:lineRule="auto" w:line="480"/>
        <w:ind w:firstLine="720"/>
        <w:jc w:val="both"/>
        <w:rPr/>
      </w:pPr>
      <w:r>
        <w:rPr/>
        <w:t>Представлены результаты использования общей магнитотерапии в комплексном лечении 100 больных с климактерическим синдромом. Было установлено, что исходно показатели перекисного окисления липидов и антиоксидантной системы защиты имеют отклонения от нормы. Анализ данных параметров после окончания общей магнитотерапии показал их достоверное снижение и нормализацию у большинства пациенток, что коррелировало с выраженным клиническим эффектом лечения. Традиционное лечение оказалось менее эффективным, не оказывая существенного воздействия на процессы липопероксидации.</w:t>
      </w:r>
    </w:p>
    <w:p>
      <w:pPr>
        <w:pStyle w:val="Normal"/>
        <w:spacing w:lineRule="auto" w:line="480"/>
        <w:ind w:firstLine="720"/>
        <w:jc w:val="both"/>
        <w:rPr/>
      </w:pPr>
      <w:r>
        <w:rPr>
          <w:b/>
        </w:rPr>
        <w:t>Ключевые слова:</w:t>
      </w:r>
      <w:r>
        <w:rPr/>
        <w:t xml:space="preserve"> перекисное окисление липидов, антиоксидантная система защиты, общая магнитотерапия, климактерический синдром</w:t>
      </w:r>
    </w:p>
    <w:p>
      <w:pPr>
        <w:pStyle w:val="Normal"/>
        <w:spacing w:lineRule="auto" w:line="480"/>
        <w:ind w:firstLine="720"/>
        <w:jc w:val="both"/>
        <w:rPr/>
      </w:pPr>
      <w:r>
        <w:rPr/>
        <w:t xml:space="preserve"> </w:t>
      </w:r>
    </w:p>
    <w:p>
      <w:pPr>
        <w:pStyle w:val="Normal"/>
        <w:spacing w:lineRule="auto" w:line="480"/>
        <w:ind w:firstLine="720"/>
        <w:jc w:val="both"/>
        <w:rPr/>
      </w:pPr>
      <w:r>
        <w:rPr>
          <w:lang w:val="en-US"/>
        </w:rPr>
        <w:t>100 patients with severe climacterium were examined, 50 of them underwent general magneto-therapy. The levels of endogenous lipid peroxidation (LPO) and antioxidant protection system were abnormal. Magneto-therapy had positive influences on the parameters of LPO. Traditional treatment was not so effective.</w:t>
      </w:r>
    </w:p>
    <w:p>
      <w:pPr>
        <w:pStyle w:val="Normal"/>
        <w:spacing w:lineRule="auto" w:line="480"/>
        <w:rPr>
          <w:lang w:val="en-US"/>
        </w:rPr>
      </w:pPr>
      <w:r>
        <w:rPr>
          <w:b/>
          <w:lang w:val="en-US"/>
        </w:rPr>
        <w:t xml:space="preserve">Key words: </w:t>
      </w:r>
      <w:r>
        <w:rPr>
          <w:lang w:val="en-US"/>
        </w:rPr>
        <w:t>lipid peroxidation, antioxidant protection system, general magneto-therapy, climacterium.</w:t>
      </w:r>
    </w:p>
    <w:p>
      <w:pPr>
        <w:pStyle w:val="Normal"/>
        <w:spacing w:lineRule="auto" w:line="480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spacing w:lineRule="auto" w:line="480"/>
        <w:ind w:firstLine="720"/>
        <w:jc w:val="both"/>
        <w:rPr/>
      </w:pPr>
      <w:r>
        <w:rPr>
          <w:b/>
        </w:rPr>
        <w:t>Актуальность.</w:t>
      </w:r>
      <w:r>
        <w:rPr/>
        <w:t xml:space="preserve"> </w:t>
      </w:r>
    </w:p>
    <w:p>
      <w:pPr>
        <w:pStyle w:val="Normal"/>
        <w:spacing w:lineRule="auto" w:line="480"/>
        <w:ind w:firstLine="720"/>
        <w:jc w:val="both"/>
        <w:rPr/>
      </w:pPr>
      <w:r>
        <w:rPr/>
        <w:t xml:space="preserve">Климактерический синдром (КС) развивается у 48-60% женщин постменопаузального возраста, характеризуется нейропсихическими, вазомоторными нарушениями, урогенитальными расстройствами, остеопорозом, значительно ухудшая их качество жизни [1, 2, 3]. В этот период важна своевременная и правильная коррекция разнообразных нарушений, вызванных дефицитом эстрогенов [4, 5, 6, 7]. Известны многочисленные препараты для гормональной терапии, однако терапия климактерических расстройств, несмотря на определенные успехи, остается актуальной проблемой гинекологии. Так, А.Л. Тихомиров и соавт. [8] призывают к взвешенному отношению к препаратам заместительной гормональной терапии (ЗГТ), истинные, отсроченные эффекты которых зачастую проявляются на стадии пострегистрационных исследований, когда препарат уже широко применяется. Ученые ссылаются на зарубежные данные, свидетельствующие о наличии наряду с положительными влияниями ЗГТ (уменьшение проявлений КС и остеопороза, вероятности колоректального рака) повышенного риска рака молочной железы, инфарктов, инсультов, тромбоэмболий. В связи с этим перспективными являются альтернативные пути коррекции КС [8, 9], в частности комплексные препараты, содержащие фитоселективные модуляторы эстрогеновых рецепторов, фитогормоны, витамины, микроэлементы. </w:t>
      </w:r>
    </w:p>
    <w:p>
      <w:pPr>
        <w:pStyle w:val="Normal"/>
        <w:spacing w:lineRule="auto" w:line="480"/>
        <w:ind w:firstLine="720"/>
        <w:jc w:val="both"/>
        <w:rPr/>
      </w:pPr>
      <w:r>
        <w:rPr>
          <w:color w:val="000000"/>
          <w:spacing w:val="-6"/>
        </w:rPr>
        <w:t xml:space="preserve">По некоторым данным </w:t>
      </w:r>
      <w:r>
        <w:rPr/>
        <w:t>[10]</w:t>
      </w:r>
      <w:r>
        <w:rPr>
          <w:color w:val="000000"/>
          <w:spacing w:val="-6"/>
        </w:rPr>
        <w:t xml:space="preserve">, одним из резервов повышения эффективности лечения </w:t>
      </w:r>
      <w:r>
        <w:rPr>
          <w:color w:val="000000"/>
          <w:spacing w:val="-3"/>
        </w:rPr>
        <w:t xml:space="preserve">КС является устранение </w:t>
      </w:r>
      <w:r>
        <w:rPr>
          <w:color w:val="000000"/>
          <w:spacing w:val="-6"/>
        </w:rPr>
        <w:t>дисбаланса в системе перекисное окисление липидов (ПОЛ) - антиоксидантная система защиты (АОСЗ)</w:t>
      </w:r>
      <w:r>
        <w:rPr/>
        <w:t>.</w:t>
      </w:r>
    </w:p>
    <w:p>
      <w:pPr>
        <w:pStyle w:val="TextBody"/>
        <w:spacing w:lineRule="auto" w:line="480"/>
        <w:ind w:firstLine="720"/>
        <w:rPr/>
      </w:pPr>
      <w:r>
        <w:rPr>
          <w:b/>
          <w:bCs/>
          <w:sz w:val="24"/>
        </w:rPr>
        <w:t>Целью настоящего исследования</w:t>
      </w:r>
      <w:r>
        <w:rPr>
          <w:bCs/>
          <w:sz w:val="24"/>
        </w:rPr>
        <w:t xml:space="preserve"> явилось изучение возможностей коррекции клинических проявлений КС и нарушений в системе «перекисное окисление липидов - антиоксидантная система защиты» на основе использования общей магнитотерапии.</w:t>
      </w:r>
    </w:p>
    <w:p>
      <w:pPr>
        <w:pStyle w:val="TextBody"/>
        <w:spacing w:lineRule="auto" w:line="480"/>
        <w:ind w:firstLine="720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Материал и методы исследования: </w:t>
      </w:r>
    </w:p>
    <w:p>
      <w:pPr>
        <w:pStyle w:val="Normal"/>
        <w:spacing w:lineRule="auto" w:line="480"/>
        <w:ind w:firstLine="720"/>
        <w:jc w:val="both"/>
        <w:rPr/>
      </w:pPr>
      <w:r>
        <w:rPr/>
        <w:t>В работе представлены результаты обследования 100 женщин в возрасте 45-55 (М=52,3) лет, у которых период аменореи составил 6-24 месяцев, а последняя самостоятельная менструация была зарегистрирована в возрасте после 40 лет. Необходимым условием включения в исследование были интактные (не удаленные оперативно) матка и придатки, концентрация ФСГ в плазме крови &gt;35 нг/мл. Пациентки не принимали гормональные или растительные препараты с целью лечения КС до начала исследования.</w:t>
      </w:r>
    </w:p>
    <w:p>
      <w:pPr>
        <w:pStyle w:val="Normal"/>
        <w:spacing w:lineRule="auto" w:line="480"/>
        <w:ind w:firstLine="720"/>
        <w:jc w:val="both"/>
        <w:rPr>
          <w:color w:val="000000"/>
          <w:spacing w:val="-12"/>
        </w:rPr>
      </w:pPr>
      <w:r>
        <w:rPr>
          <w:color w:val="000000"/>
          <w:spacing w:val="-12"/>
        </w:rPr>
        <w:t>Женщины были разделены на 2 группы. В 1-ю (основную) группу вошли 50 пациенток, которым назначалась общая магнитотерапия (ОМТ) на установке магнитотерапевтической импульсной трехфазной УМТИ-3Ф (“Колибри”). Использовалась к</w:t>
      </w:r>
      <w:r>
        <w:rPr/>
        <w:t>онфигурация соленоидов «призма». Первая и вторая процедуры начинались в режиме раздражения (индукция 80% в течение 15 мин.), затем продолжались в режиме стабилизации (индукция 40% в течение 15 мин.). Последующие 10 процедур проводились только в режиме стабилизации, длительность их составляла 30 мин.</w:t>
      </w:r>
    </w:p>
    <w:p>
      <w:pPr>
        <w:pStyle w:val="Normal"/>
        <w:spacing w:lineRule="auto" w:line="480"/>
        <w:ind w:firstLine="720"/>
        <w:jc w:val="both"/>
        <w:rPr/>
      </w:pPr>
      <w:r>
        <w:rPr/>
        <w:t xml:space="preserve">Во 2-й группе (50 женщин) проводилась традиционная терапия (ТТ) с использованием негормональных средств (климадинон, Магне В6, витамины). </w:t>
      </w:r>
    </w:p>
    <w:p>
      <w:pPr>
        <w:pStyle w:val="Normal"/>
        <w:spacing w:lineRule="auto" w:line="480"/>
        <w:ind w:firstLine="720"/>
        <w:jc w:val="both"/>
        <w:rPr/>
      </w:pPr>
      <w:r>
        <w:rPr>
          <w:color w:val="000000"/>
        </w:rPr>
        <w:t xml:space="preserve">Пациентки </w:t>
      </w:r>
      <w:r>
        <w:rPr/>
        <w:t xml:space="preserve">проходили клинико-лабораторное обследование включающее оценку </w:t>
      </w:r>
      <w:r>
        <w:rPr>
          <w:color w:val="000000"/>
        </w:rPr>
        <w:t>тяжести климактерических расстройств при помощи шкалы Куппермана,</w:t>
      </w:r>
      <w:r>
        <w:rPr/>
        <w:t xml:space="preserve"> изучение показателей ПОЛ-АОСЗ. </w:t>
      </w:r>
    </w:p>
    <w:p>
      <w:pPr>
        <w:pStyle w:val="Normal"/>
        <w:spacing w:lineRule="auto" w:line="480"/>
        <w:ind w:firstLine="709"/>
        <w:jc w:val="both"/>
        <w:rPr/>
      </w:pPr>
      <w:r>
        <w:rPr/>
        <w:t>Для оценки интенсивности ПОЛ использовали метод индуцированной хемилюминесценции сыворотки крови на биохемилюминометре БХЛ-06 по показателям I max в m</w:t>
      </w:r>
      <w:r>
        <w:rPr>
          <w:lang w:val="en-US"/>
        </w:rPr>
        <w:t>v</w:t>
      </w:r>
      <w:r>
        <w:rPr/>
        <w:t>/сек, S в m</w:t>
      </w:r>
      <w:r>
        <w:rPr>
          <w:lang w:val="en-US"/>
        </w:rPr>
        <w:t>v</w:t>
      </w:r>
      <w:r>
        <w:rPr/>
        <w:t>/сек., tg-2альфа.</w:t>
      </w:r>
    </w:p>
    <w:p>
      <w:pPr>
        <w:pStyle w:val="TextBody"/>
        <w:spacing w:lineRule="auto" w:line="480"/>
        <w:ind w:right="-6" w:firstLine="720"/>
        <w:rPr/>
      </w:pPr>
      <w:r>
        <w:rPr>
          <w:sz w:val="24"/>
        </w:rPr>
        <w:t xml:space="preserve">Содержание первичных молекулярных продуктов ПОЛ - диеновых конъюгатов (ДК) определяли метанол-гексановой липидной фракции (5:1) при длине волны поглощения 233 нм, триеновых конъюгатов (ТК) – в той же фракции при длине волны 275 нм. Полученные результаты представлены в единицах оптической плотности на мг общих липидов (ОЛ). Количество конечных продуктов ПОЛ – оснований Шиффа (ОШ) анализировали с помощью флуориметра при длине волны возбуждения 365 нм и длине волны эмиссии 420 нм. Полученные результаты представлены в относительных единицах на мг ОЛ. </w:t>
      </w:r>
    </w:p>
    <w:p>
      <w:pPr>
        <w:pStyle w:val="TextBody"/>
        <w:spacing w:lineRule="auto" w:line="480"/>
        <w:ind w:right="-6" w:firstLine="720"/>
        <w:rPr/>
      </w:pPr>
      <w:r>
        <w:rPr>
          <w:color w:val="000000"/>
          <w:spacing w:val="-12"/>
          <w:sz w:val="24"/>
        </w:rPr>
        <w:t>Активность антиоксидантных ферментов – каталазы и супероксиддистмутазы (СОД) в крови определяли на спектрофотометре СФ-26</w:t>
      </w:r>
      <w:r>
        <w:rPr>
          <w:sz w:val="24"/>
        </w:rPr>
        <w:t>.</w:t>
      </w:r>
    </w:p>
    <w:p>
      <w:pPr>
        <w:pStyle w:val="TextBody"/>
        <w:spacing w:lineRule="auto" w:line="480"/>
        <w:ind w:firstLine="720"/>
        <w:rPr/>
      </w:pPr>
      <w:r>
        <w:rPr>
          <w:b/>
          <w:bCs/>
          <w:color w:val="000000"/>
          <w:sz w:val="24"/>
        </w:rPr>
        <w:t xml:space="preserve">Результаты исследования и их обсуждение. </w:t>
      </w:r>
    </w:p>
    <w:p>
      <w:pPr>
        <w:pStyle w:val="Normal"/>
        <w:spacing w:lineRule="auto" w:line="480"/>
        <w:ind w:firstLine="720"/>
        <w:jc w:val="both"/>
        <w:rPr/>
      </w:pPr>
      <w:r>
        <w:rPr/>
        <w:t xml:space="preserve">Как следует из полученных данных, значение индекса Куппермана в исследуемой группе пациенток составило 24,9±0,7 (р&lt;0,05), что соответствует средней степени КС. </w:t>
      </w:r>
    </w:p>
    <w:p>
      <w:pPr>
        <w:pStyle w:val="Normal"/>
        <w:spacing w:lineRule="auto" w:line="480"/>
        <w:ind w:firstLine="720"/>
        <w:jc w:val="both"/>
        <w:rPr/>
      </w:pPr>
      <w:r>
        <w:rPr/>
        <w:t xml:space="preserve">У большинства женщин основной и контрольной групп (37 (74%) и 36 (72%) соответственно) цифры систолического артериального давления были в пределах 120-140 мм рт. ст., что достоверно не различалось. Систолическое артериальное давление выше 140 мм рт. ст. было отмечено у 13 (26%) пациенток и у 15 (30%) женщин. </w:t>
      </w:r>
    </w:p>
    <w:p>
      <w:pPr>
        <w:pStyle w:val="Normal"/>
        <w:spacing w:lineRule="auto" w:line="480"/>
        <w:jc w:val="both"/>
        <w:rPr/>
      </w:pPr>
      <w:r>
        <w:rPr/>
        <w:tab/>
        <w:t>Средний уровень систолического артериального давления у пациенток в основной группе составил 142,4±0,9 и, что достоверно не различалось по сравнению с этим показателем у женщин в контрольной группе (146,3±1,2 мм рт. ст.).</w:t>
      </w:r>
    </w:p>
    <w:p>
      <w:pPr>
        <w:pStyle w:val="Normal"/>
        <w:spacing w:lineRule="auto" w:line="480"/>
        <w:jc w:val="both"/>
        <w:rPr/>
      </w:pPr>
      <w:r>
        <w:rPr/>
        <w:tab/>
        <w:t>У 84% женщин основной и 86% контрольной группы уровень диастолического артериального давления составлял от 80 до 100 мм рт. ст., что достоверно не различалось. Диастолическое артериальное давление более 100 мм рт. ст. было выявлено соответственно у 16% и 14% больных.</w:t>
      </w:r>
    </w:p>
    <w:p>
      <w:pPr>
        <w:pStyle w:val="Normal"/>
        <w:spacing w:lineRule="auto" w:line="480"/>
        <w:jc w:val="both"/>
        <w:rPr/>
      </w:pPr>
      <w:r>
        <w:rPr/>
        <w:tab/>
        <w:t xml:space="preserve">Средний уровень диастоличекого артериального давления у пациенток основной группы составил 86,1±0,8 мм рт. ст., что достоверно не различалось по сравнению с женщинами контрольной группы (84,4±0,7 мм рт. ст., </w:t>
      </w:r>
      <w:r>
        <w:rPr>
          <w:lang w:val="en-US"/>
        </w:rPr>
        <w:t>p</w:t>
      </w:r>
      <w:r>
        <w:rPr/>
        <w:t xml:space="preserve">&gt;0,05). </w:t>
      </w:r>
    </w:p>
    <w:p>
      <w:pPr>
        <w:pStyle w:val="Normal"/>
        <w:spacing w:lineRule="auto" w:line="480"/>
        <w:ind w:firstLine="720"/>
        <w:jc w:val="both"/>
        <w:rPr/>
      </w:pPr>
      <w:r>
        <w:rPr/>
        <w:t xml:space="preserve">Показатели ПОЛ-АОСЗ при этом в группах также не имели достоверных отличий (таблица 1) и значительно отличались от нормативных значений. Так, до лечения показатель </w:t>
      </w:r>
      <w:r>
        <w:rPr>
          <w:lang w:val="en-US"/>
        </w:rPr>
        <w:t>Imax</w:t>
      </w:r>
      <w:r>
        <w:rPr/>
        <w:t xml:space="preserve"> был повышенным в основной группе у 68% больных, в контрольной – у 70%, </w:t>
      </w:r>
      <w:r>
        <w:rPr>
          <w:lang w:val="en-US"/>
        </w:rPr>
        <w:t>S</w:t>
      </w:r>
      <w:r>
        <w:rPr/>
        <w:t xml:space="preserve"> соответственно у 60% и 64%. Повышенный уровень ДК, соответственно, отмечался у 76% и 78%, ТК у 42% и 44%, ОШ у 56% и 60% пациенток. Данные результаты соответствуют литературным источникам и характеризуют состояние ПОЛ у больных КС как нестабильное, отличающееся избыточностью липопероксидации [10]. Активность антиоксидантных ферментов при этом находилась на недостаточном уровне (таблица 1). </w:t>
      </w:r>
    </w:p>
    <w:p>
      <w:pPr>
        <w:pStyle w:val="Normal"/>
        <w:spacing w:lineRule="auto" w:line="480"/>
        <w:ind w:firstLine="720"/>
        <w:jc w:val="both"/>
        <w:rPr/>
      </w:pPr>
      <w:r>
        <w:rPr/>
        <w:t xml:space="preserve">После окончания лечения в основной группе отмечалось снижение </w:t>
      </w:r>
      <w:r>
        <w:rPr>
          <w:lang w:val="en-US"/>
        </w:rPr>
        <w:t>Imax</w:t>
      </w:r>
      <w:r>
        <w:rPr/>
        <w:t xml:space="preserve"> на 46,5%, в результате его уровень после ОМТ оказался в 1,73 раза ниже, чем после традиционного лечения, которое не вызвало значимой динамики параметра. В основной группе нормализация </w:t>
      </w:r>
      <w:r>
        <w:rPr>
          <w:lang w:val="en-US"/>
        </w:rPr>
        <w:t>Imax</w:t>
      </w:r>
      <w:r>
        <w:rPr/>
        <w:t xml:space="preserve"> имела место у 82% женщин, в контроле по-прежнему избыточный уровень сохранялся у 70% пациенток.</w:t>
      </w:r>
    </w:p>
    <w:p>
      <w:pPr>
        <w:pStyle w:val="Normal"/>
        <w:spacing w:lineRule="auto" w:line="480"/>
        <w:ind w:firstLine="720"/>
        <w:jc w:val="both"/>
        <w:rPr/>
      </w:pPr>
      <w:r>
        <w:rPr/>
        <w:t xml:space="preserve">ОМТ вызвала снижение </w:t>
      </w:r>
      <w:r>
        <w:rPr>
          <w:lang w:val="en-US"/>
        </w:rPr>
        <w:t>S</w:t>
      </w:r>
      <w:r>
        <w:rPr/>
        <w:t xml:space="preserve"> до 14,24±0,1 </w:t>
      </w:r>
      <w:r>
        <w:rPr>
          <w:lang w:val="en-US"/>
        </w:rPr>
        <w:t>mv</w:t>
      </w:r>
      <w:r>
        <w:rPr/>
        <w:t xml:space="preserve">/сек. (р&lt;0,05), т. е. на 27,7%. Исследуемый параметр в контроле не снизился, оказавшись в 1,53 раза больше по сравнению с основной группой. В итоге лишь в основной группе данный показатель пришел к норме у большинства больных (90%). По окончании лечения в основной группе </w:t>
      </w:r>
      <w:r>
        <w:rPr>
          <w:lang w:val="en-US"/>
        </w:rPr>
        <w:t>tg</w:t>
      </w:r>
      <w:r>
        <w:rPr/>
        <w:t xml:space="preserve">2ά снизился на 27,3% (р&lt;0,05), а в контрольной остался без изменений. В результате уровень </w:t>
      </w:r>
      <w:r>
        <w:rPr>
          <w:lang w:val="en-US"/>
        </w:rPr>
        <w:t>tg</w:t>
      </w:r>
      <w:r>
        <w:rPr/>
        <w:t xml:space="preserve">2ά после ОМТ оказался ниже в 1,32 раза, чем после ТТ и нормализовался у 84% больных (исходно он был повышен у 76%). В контроле данный параметр оставался повышенным у 78% женщин, как и до лечения. </w:t>
      </w:r>
    </w:p>
    <w:p>
      <w:pPr>
        <w:pStyle w:val="Normal"/>
        <w:spacing w:lineRule="auto" w:line="360"/>
        <w:ind w:firstLine="720"/>
        <w:jc w:val="both"/>
        <w:rPr/>
      </w:pPr>
      <w:r>
        <w:rPr>
          <w:b/>
          <w:bCs/>
        </w:rPr>
        <w:t>Таблица 1. Влияние общей магнитотерапии (основная группа) и традиционного лечения (контрольная группа) на показатели ПОЛ-АОСЗ у больных с климакте</w:t>
      </w:r>
      <w:r>
        <w:rPr/>
        <w:t>рическим синдромом</w:t>
      </w:r>
    </w:p>
    <w:tbl>
      <w:tblPr>
        <w:tblW w:w="9720" w:type="dxa"/>
        <w:jc w:val="left"/>
        <w:tblInd w:w="-3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00"/>
        <w:gridCol w:w="2160"/>
        <w:gridCol w:w="1980"/>
        <w:gridCol w:w="2340"/>
      </w:tblGrid>
      <w:tr>
        <w:trPr>
          <w:trHeight w:val="589" w:hRule="atLeast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-108" w:hanging="0"/>
              <w:rPr/>
            </w:pPr>
            <w:r>
              <w:rPr/>
              <w:t>Пока-</w:t>
            </w:r>
          </w:p>
          <w:p>
            <w:pPr>
              <w:pStyle w:val="Normal"/>
              <w:spacing w:lineRule="auto" w:line="360"/>
              <w:ind w:right="-108" w:hanging="0"/>
              <w:rPr/>
            </w:pPr>
            <w:r>
              <w:rPr/>
              <w:t>затель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Основная группа (</w:t>
            </w:r>
            <w:r>
              <w:rPr>
                <w:lang w:val="en-US"/>
              </w:rPr>
              <w:t>n</w:t>
            </w:r>
            <w:r>
              <w:rPr/>
              <w:t>=50)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Контрольная группа (</w:t>
            </w:r>
            <w:r>
              <w:rPr>
                <w:lang w:val="en-US"/>
              </w:rPr>
              <w:t>n</w:t>
            </w:r>
            <w:r>
              <w:rPr/>
              <w:t>=50)</w:t>
            </w:r>
          </w:p>
        </w:tc>
      </w:tr>
      <w:tr>
        <w:trPr>
          <w:trHeight w:val="579" w:hRule="atLeast"/>
        </w:trPr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-108" w:firstLine="32"/>
              <w:rPr/>
            </w:pPr>
            <w:r>
              <w:rPr/>
              <w:t>До лечения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-108" w:firstLine="32"/>
              <w:rPr/>
            </w:pPr>
            <w:r>
              <w:rPr/>
              <w:t>После лечения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-108" w:firstLine="32"/>
              <w:rPr/>
            </w:pPr>
            <w:r>
              <w:rPr/>
              <w:t>До лечения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-108" w:firstLine="32"/>
              <w:rPr/>
            </w:pPr>
            <w:r>
              <w:rPr/>
              <w:t>После лечения</w:t>
            </w:r>
          </w:p>
        </w:tc>
      </w:tr>
      <w:tr>
        <w:trPr>
          <w:trHeight w:val="855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Imax, mv/сек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left="-108" w:right="-108" w:firstLine="32"/>
              <w:jc w:val="center"/>
              <w:rPr/>
            </w:pPr>
            <w:r>
              <w:rPr/>
              <w:t>2,86±0,19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left="-108" w:right="-108" w:firstLine="32"/>
              <w:jc w:val="center"/>
              <w:rPr/>
            </w:pPr>
            <w:r>
              <w:rPr/>
              <w:t>1,53±0,08*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left="-108" w:right="-108" w:firstLine="32"/>
              <w:jc w:val="center"/>
              <w:rPr/>
            </w:pPr>
            <w:r>
              <w:rPr/>
              <w:t>2,75±0,11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left="-108" w:right="-108" w:firstLine="32"/>
              <w:jc w:val="center"/>
              <w:rPr/>
            </w:pPr>
            <w:r>
              <w:rPr/>
              <w:t>2,66±0,07**</w:t>
            </w:r>
          </w:p>
        </w:tc>
      </w:tr>
      <w:tr>
        <w:trPr>
          <w:trHeight w:val="707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S, mv/сек</w:t>
            </w:r>
          </w:p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left="-108" w:right="-108" w:firstLine="32"/>
              <w:jc w:val="center"/>
              <w:rPr/>
            </w:pPr>
            <w:r>
              <w:rPr/>
              <w:t>19,66±0,11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left="-108" w:right="-108" w:firstLine="32"/>
              <w:jc w:val="center"/>
              <w:rPr/>
            </w:pPr>
            <w:r>
              <w:rPr/>
              <w:t>14,24±0,1*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left="-108" w:right="-108" w:firstLine="32"/>
              <w:jc w:val="center"/>
              <w:rPr/>
            </w:pPr>
            <w:r>
              <w:rPr/>
              <w:t>18,98±0,17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left="-108" w:right="-108" w:firstLine="32"/>
              <w:jc w:val="center"/>
              <w:rPr/>
            </w:pPr>
            <w:r>
              <w:rPr/>
              <w:t>21,82±0,13**</w:t>
            </w:r>
          </w:p>
        </w:tc>
      </w:tr>
      <w:tr>
        <w:trPr>
          <w:trHeight w:val="906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tg 2ά</w:t>
            </w:r>
          </w:p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left="-108" w:right="-108" w:firstLine="32"/>
              <w:jc w:val="center"/>
              <w:rPr/>
            </w:pPr>
            <w:r>
              <w:rPr/>
              <w:t>0,73 ±0,05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left="-108" w:right="-108" w:firstLine="32"/>
              <w:jc w:val="center"/>
              <w:rPr/>
            </w:pPr>
            <w:r>
              <w:rPr/>
              <w:t>0,53 ±0,04*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left="-108" w:right="-108" w:firstLine="32"/>
              <w:jc w:val="center"/>
              <w:rPr/>
            </w:pPr>
            <w:r>
              <w:rPr/>
              <w:t>0,69±0,02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left="-108" w:right="-108" w:firstLine="32"/>
              <w:jc w:val="center"/>
              <w:rPr/>
            </w:pPr>
            <w:r>
              <w:rPr/>
              <w:t>0,70 ±0,03**</w:t>
            </w:r>
          </w:p>
        </w:tc>
      </w:tr>
      <w:tr>
        <w:trPr>
          <w:trHeight w:val="1102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  <w:t xml:space="preserve">ДК, 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/>
              <w:t>ед.опт.пл./мг ОЛ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</w:rPr>
            </w:pPr>
            <w:r>
              <w:rPr/>
              <w:t>0,37±0,02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</w:rPr>
            </w:pPr>
            <w:r>
              <w:rPr/>
              <w:t>0,29±0,01*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</w:rPr>
            </w:pPr>
            <w:r>
              <w:rPr/>
              <w:t>0,40±0,03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</w:rPr>
            </w:pPr>
            <w:r>
              <w:rPr/>
              <w:t>0,38±0,04**</w:t>
            </w:r>
          </w:p>
        </w:tc>
      </w:tr>
      <w:tr>
        <w:trPr>
          <w:trHeight w:val="1427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  <w:t xml:space="preserve">ТК, 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/>
              <w:t>ед.опт.пл./мг ОЛ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0,052±0,007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0,041±0,006*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0,055±0,008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0,054±0,003**</w:t>
            </w:r>
          </w:p>
        </w:tc>
      </w:tr>
      <w:tr>
        <w:trPr>
          <w:trHeight w:val="1034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color w:val="000000"/>
              </w:rPr>
            </w:pPr>
            <w:r>
              <w:rPr>
                <w:color w:val="000000"/>
              </w:rPr>
              <w:t>ОШ, отн.е</w:t>
            </w:r>
            <w:r>
              <w:rPr/>
              <w:t xml:space="preserve">д./мг ОЛ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/>
              <w:jc w:val="center"/>
              <w:rPr>
                <w:color w:val="000000"/>
              </w:rPr>
            </w:pPr>
            <w:r>
              <w:rPr/>
              <w:t>22,92±0,015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/>
              <w:jc w:val="center"/>
              <w:rPr>
                <w:color w:val="000000"/>
              </w:rPr>
            </w:pPr>
            <w:r>
              <w:rPr/>
              <w:t>13,4±0,011*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/>
              <w:jc w:val="center"/>
              <w:rPr>
                <w:color w:val="000000"/>
              </w:rPr>
            </w:pPr>
            <w:r>
              <w:rPr/>
              <w:t>24,68±0,019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/>
              <w:jc w:val="center"/>
              <w:rPr>
                <w:color w:val="000000"/>
              </w:rPr>
            </w:pPr>
            <w:r>
              <w:rPr/>
              <w:t>23,31±0,014**</w:t>
            </w:r>
          </w:p>
        </w:tc>
      </w:tr>
      <w:tr>
        <w:trPr>
          <w:trHeight w:val="1064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  <w:t>Каталаза, Ед./г Нв в мин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-108" w:right="-108" w:hanging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360"/>
              <w:ind w:left="-108" w:right="-108" w:hanging="0"/>
              <w:jc w:val="center"/>
              <w:rPr>
                <w:vertAlign w:val="superscript"/>
              </w:rPr>
            </w:pPr>
            <w:r>
              <w:rPr/>
              <w:t>467,5±10,1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-108" w:right="-108" w:hanging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</w:r>
          </w:p>
          <w:p>
            <w:pPr>
              <w:pStyle w:val="Normal"/>
              <w:spacing w:lineRule="auto" w:line="360"/>
              <w:ind w:left="-108" w:right="-108" w:hanging="0"/>
              <w:jc w:val="center"/>
              <w:rPr>
                <w:vertAlign w:val="superscript"/>
              </w:rPr>
            </w:pPr>
            <w:r>
              <w:rPr/>
              <w:t>552,1±12,7*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-108" w:right="-108" w:hanging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</w:r>
          </w:p>
          <w:p>
            <w:pPr>
              <w:pStyle w:val="Normal"/>
              <w:spacing w:lineRule="auto" w:line="360"/>
              <w:ind w:left="-108" w:right="-108" w:hanging="0"/>
              <w:jc w:val="center"/>
              <w:rPr>
                <w:vertAlign w:val="superscript"/>
              </w:rPr>
            </w:pPr>
            <w:r>
              <w:rPr/>
              <w:t>488,3±11,2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-108" w:right="-108" w:hanging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</w:r>
          </w:p>
          <w:p>
            <w:pPr>
              <w:pStyle w:val="Normal"/>
              <w:spacing w:lineRule="auto" w:line="360"/>
              <w:ind w:left="-108" w:right="-108" w:hanging="0"/>
              <w:jc w:val="center"/>
              <w:rPr>
                <w:vertAlign w:val="superscript"/>
              </w:rPr>
            </w:pPr>
            <w:r>
              <w:rPr/>
              <w:t>432,2±9,9* **</w:t>
            </w:r>
          </w:p>
        </w:tc>
      </w:tr>
      <w:tr>
        <w:trPr>
          <w:trHeight w:val="1427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  <w:t>СОД, Ед./г Нв в мин.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599,1±12,2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684,5±17,3*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615,0±16,1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587,7±19,2**</w:t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  <w:t>*- достоверность различий (р&lt;0,05) показателя по отношению к исходному</w:t>
      </w:r>
    </w:p>
    <w:p>
      <w:pPr>
        <w:pStyle w:val="Normal"/>
        <w:spacing w:lineRule="auto" w:line="360"/>
        <w:jc w:val="both"/>
        <w:rPr/>
      </w:pPr>
      <w:r>
        <w:rPr/>
        <w:t>** - достоверность различий (р&lt;0,05) показателя контрольной группы по отношению к показателю основной группы</w:t>
      </w:r>
    </w:p>
    <w:p>
      <w:pPr>
        <w:pStyle w:val="Normal"/>
        <w:spacing w:lineRule="auto" w:line="480"/>
        <w:jc w:val="both"/>
        <w:rPr/>
      </w:pPr>
      <w:r>
        <w:rPr/>
      </w:r>
    </w:p>
    <w:p>
      <w:pPr>
        <w:pStyle w:val="Normal"/>
        <w:spacing w:lineRule="auto" w:line="480"/>
        <w:ind w:firstLine="720"/>
        <w:jc w:val="both"/>
        <w:rPr/>
      </w:pPr>
      <w:r>
        <w:rPr/>
        <w:t xml:space="preserve">Исследование ДК по окончании ОМТ выявило их снижение на 21%, до 0,29±0,01 ед.опт.плот./мг ОЛ, что оказалось в 1,31 раза (р&lt;0,05) меньше по сравнению с контрольной группой. После курса ОМТ уровень ТК в основной группе снизился до 0,041±0,006 ед.опт.плот./мг ОЛ, оказавшись на 21,1% ниже исходного. Традиционное лечение не привело к достоверному снижению изучаемого показателя, он оказался в 1,31 раза (р&lt;0,05) выше, чем в основной. </w:t>
      </w:r>
    </w:p>
    <w:p>
      <w:pPr>
        <w:pStyle w:val="Normal"/>
        <w:spacing w:lineRule="auto" w:line="480"/>
        <w:ind w:firstLine="720"/>
        <w:jc w:val="both"/>
        <w:rPr/>
      </w:pPr>
      <w:r>
        <w:rPr/>
        <w:t>В результате ОМТ уровень ДК и ТК не достиг нормы, однако главным итогом стало прекращении накопления ОШ, наиболее токсичных продуктов ПОЛ. Так, по окончании лечения уровень ОШ в основной группе уменьшился на 41,5% и достиг 13,4±0,011отн.ед./мг ОЛ, что достоверно, в 1,73 раза ниже, чем в контрольной группе, где он практически не изменился. Нормализация показателя произошла, соответственно у 82% и 8% пациенток. После завершения ОМТ уровень каталазы составил 552,1±12,7 Ед/г Нв в мин., что на 18% больше исходного (р&lt;0,05), СОД увеличилась на 14,1% (р&lt;0,05). Уровни антиоксидантных ферментов в контрольной группе практически не изменились или даже уменьшились (каталаза). Полученные нами данные коррелируют с ранее проведенными исследованиями, описывающими воздействие общей магнитотерапии на состояние перекисного окисления липидов и антиоксидантной системы защиты у гинекологических больных [11].</w:t>
      </w:r>
    </w:p>
    <w:p>
      <w:pPr>
        <w:pStyle w:val="Normal"/>
        <w:spacing w:lineRule="auto" w:line="480"/>
        <w:ind w:firstLine="720"/>
        <w:jc w:val="both"/>
        <w:rPr/>
      </w:pPr>
      <w:r>
        <w:rPr/>
        <w:t xml:space="preserve">Клинический контроль состояния больных после лечения также выявил у них определенную зависимость от способа лечения. </w:t>
      </w:r>
    </w:p>
    <w:p>
      <w:pPr>
        <w:pStyle w:val="Normal"/>
        <w:spacing w:lineRule="auto" w:line="480"/>
        <w:ind w:firstLine="720"/>
        <w:jc w:val="both"/>
        <w:rPr/>
      </w:pPr>
      <w:r>
        <w:rPr/>
        <w:t>Динамика уровня систолического и диастолического артериального давления у женщин с климактерическим синдромом на фоне использования двух методов лечения отражена в таблице 2.</w:t>
      </w:r>
    </w:p>
    <w:p>
      <w:pPr>
        <w:pStyle w:val="Normal"/>
        <w:spacing w:lineRule="auto" w:line="360"/>
        <w:jc w:val="both"/>
        <w:rPr/>
      </w:pPr>
      <w:r>
        <w:rPr>
          <w:b/>
        </w:rPr>
        <w:t xml:space="preserve">Таблица 2. Влияние общей магнитотерапии (основная группа) и традиционного лечения (контрольная группа) на уровень артериального давления у женщин в постменопаузе с климактерическим синдромом </w:t>
      </w:r>
      <w:r>
        <w:rPr/>
        <w:t>(абс.ч., %)</w:t>
      </w:r>
    </w:p>
    <w:tbl>
      <w:tblPr>
        <w:tblW w:w="9325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707"/>
        <w:gridCol w:w="22"/>
        <w:gridCol w:w="37"/>
        <w:gridCol w:w="1980"/>
        <w:gridCol w:w="1980"/>
        <w:gridCol w:w="2160"/>
      </w:tblGrid>
      <w:tr>
        <w:trPr/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АД</w:t>
            </w:r>
          </w:p>
          <w:p>
            <w:pPr>
              <w:pStyle w:val="Normal"/>
              <w:spacing w:lineRule="auto" w:line="360"/>
              <w:ind w:right="-130" w:hanging="180"/>
              <w:jc w:val="center"/>
              <w:rPr/>
            </w:pPr>
            <w:r>
              <w:rPr/>
              <w:t xml:space="preserve">(мм рт.ст.) </w:t>
            </w:r>
          </w:p>
        </w:tc>
        <w:tc>
          <w:tcPr>
            <w:tcW w:w="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основная группа (</w:t>
            </w:r>
            <w:r>
              <w:rPr>
                <w:lang w:val="en-US"/>
              </w:rPr>
              <w:t>n</w:t>
            </w:r>
            <w:r>
              <w:rPr/>
              <w:t>=50)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контрольная группа (</w:t>
            </w:r>
            <w:r>
              <w:rPr>
                <w:lang w:val="en-US"/>
              </w:rPr>
              <w:t>n</w:t>
            </w:r>
            <w:r>
              <w:rPr/>
              <w:t>=50)</w:t>
            </w:r>
          </w:p>
        </w:tc>
      </w:tr>
      <w:tr>
        <w:trPr/>
        <w:tc>
          <w:tcPr>
            <w:tcW w:w="1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 xml:space="preserve">до </w:t>
            </w:r>
          </w:p>
          <w:p>
            <w:pPr>
              <w:pStyle w:val="Normal"/>
              <w:spacing w:lineRule="auto" w:line="360"/>
              <w:ind w:right="-313" w:hanging="0"/>
              <w:jc w:val="center"/>
              <w:rPr/>
            </w:pPr>
            <w:r>
              <w:rPr/>
              <w:t xml:space="preserve">лечения 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 xml:space="preserve">после </w:t>
            </w:r>
          </w:p>
          <w:p>
            <w:pPr>
              <w:pStyle w:val="Normal"/>
              <w:spacing w:lineRule="auto" w:line="360"/>
              <w:ind w:left="75" w:hanging="0"/>
              <w:jc w:val="center"/>
              <w:rPr/>
            </w:pPr>
            <w:r>
              <w:rPr/>
              <w:t>лечения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 xml:space="preserve">до 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лечения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 xml:space="preserve">после 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лечения</w:t>
            </w:r>
          </w:p>
        </w:tc>
      </w:tr>
      <w:tr>
        <w:trPr/>
        <w:tc>
          <w:tcPr>
            <w:tcW w:w="9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Систолическое артериальное давление</w:t>
            </w:r>
          </w:p>
        </w:tc>
      </w:tr>
      <w:tr>
        <w:trPr/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120-139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 xml:space="preserve">37 </w:t>
            </w:r>
            <w:r>
              <w:rPr>
                <w:lang w:val="en-US"/>
              </w:rPr>
              <w:t>(</w:t>
            </w:r>
            <w:r>
              <w:rPr/>
              <w:t>74</w:t>
            </w:r>
            <w:r>
              <w:rPr>
                <w:lang w:val="en-US"/>
              </w:rPr>
              <w:t>%)</w:t>
            </w:r>
            <w:r>
              <w:rPr/>
              <w:t xml:space="preserve">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45 (90%)*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36 (72%)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35 (70%)**</w:t>
            </w:r>
          </w:p>
        </w:tc>
      </w:tr>
      <w:tr>
        <w:trPr/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US"/>
              </w:rPr>
              <w:t>≥</w:t>
            </w:r>
            <w:r>
              <w:rPr>
                <w:lang w:val="en-US"/>
              </w:rPr>
              <w:t xml:space="preserve"> </w:t>
            </w:r>
            <w:r>
              <w:rPr/>
              <w:t>140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 xml:space="preserve">13 </w:t>
            </w:r>
            <w:r>
              <w:rPr>
                <w:lang w:val="en-US"/>
              </w:rPr>
              <w:t>(</w:t>
            </w:r>
            <w:r>
              <w:rPr/>
              <w:t>26</w:t>
            </w:r>
            <w:r>
              <w:rPr>
                <w:lang w:val="en-US"/>
              </w:rPr>
              <w:t>%)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5 (10%)*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14 (28%)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15 (30%)**</w:t>
            </w:r>
          </w:p>
        </w:tc>
      </w:tr>
      <w:tr>
        <w:trPr/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lang w:val="en-US"/>
              </w:rPr>
            </w:pPr>
            <w:r>
              <w:rPr>
                <w:lang w:val="en-US"/>
              </w:rPr>
              <w:t>M±m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lang w:val="en-US"/>
              </w:rPr>
              <w:t>1</w:t>
            </w:r>
            <w:r>
              <w:rPr/>
              <w:t>42,4±0,9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131,2±1,0*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146,3±1,2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144,8±2,0**</w:t>
            </w:r>
          </w:p>
        </w:tc>
      </w:tr>
      <w:tr>
        <w:trPr/>
        <w:tc>
          <w:tcPr>
            <w:tcW w:w="9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25" w:leader="none"/>
              </w:tabs>
              <w:spacing w:lineRule="auto" w:line="360"/>
              <w:jc w:val="center"/>
              <w:rPr/>
            </w:pPr>
            <w:r>
              <w:rPr/>
              <w:t>Диастолическое артериальное давление</w:t>
            </w:r>
          </w:p>
        </w:tc>
      </w:tr>
      <w:tr>
        <w:trPr/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80-99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42 (84%)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47 (94%)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43 (86%)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42 (84%)</w:t>
            </w:r>
          </w:p>
        </w:tc>
      </w:tr>
      <w:tr>
        <w:trPr/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US"/>
              </w:rPr>
              <w:t>≥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100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8 (16%)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3 (6%)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7 (14%)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8 (16%)</w:t>
            </w:r>
          </w:p>
        </w:tc>
      </w:tr>
      <w:tr>
        <w:trPr/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lang w:val="en-US"/>
              </w:rPr>
            </w:pPr>
            <w:r>
              <w:rPr>
                <w:lang w:val="en-US"/>
              </w:rPr>
              <w:t>M±m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86,1±0,8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81,4±0,6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84,4±0,7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83,9±0,8</w:t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  <w:t>*- достоверность различий (р&lt;0,05) показателя по отношению к исходному</w:t>
      </w:r>
    </w:p>
    <w:p>
      <w:pPr>
        <w:pStyle w:val="Normal"/>
        <w:spacing w:lineRule="auto" w:line="360"/>
        <w:jc w:val="both"/>
        <w:rPr/>
      </w:pPr>
      <w:r>
        <w:rPr/>
        <w:t>** - достоверность различий (р&lt;0,05) показателя контрольной группы по отношению к показателю основной группы</w:t>
      </w:r>
    </w:p>
    <w:p>
      <w:pPr>
        <w:pStyle w:val="Normal"/>
        <w:spacing w:lineRule="auto" w:line="480"/>
        <w:jc w:val="both"/>
        <w:rPr/>
      </w:pPr>
      <w:r>
        <w:rPr/>
      </w:r>
    </w:p>
    <w:p>
      <w:pPr>
        <w:pStyle w:val="Normal"/>
        <w:shd w:fill="FFFFFF" w:val="clear"/>
        <w:spacing w:lineRule="auto" w:line="480"/>
        <w:ind w:right="-6" w:firstLine="720"/>
        <w:jc w:val="both"/>
        <w:rPr/>
      </w:pPr>
      <w:r>
        <w:rPr/>
        <w:t>У всех пациенток основной группы цифры систолического артериального давления достоверно (</w:t>
      </w:r>
      <w:r>
        <w:rPr>
          <w:lang w:val="en-US"/>
        </w:rPr>
        <w:t>p</w:t>
      </w:r>
      <w:r>
        <w:rPr/>
        <w:t>&lt;0,05) снизились по сравнению с исходными значениями и были зафиксированы на уровне 120-139 мм рт. ст. у 90%. Систолическое артериальное давление более 140 мм рт. ст. после ОМТ отмечалось у 10% больных по сравнению с 26% до лечения (</w:t>
      </w:r>
      <w:r>
        <w:rPr>
          <w:lang w:val="en-US"/>
        </w:rPr>
        <w:t>p</w:t>
      </w:r>
      <w:r>
        <w:rPr/>
        <w:t>&lt;0,05). Данный эффект магнитотерапии сопоставим с приводимыми в литературе</w:t>
      </w:r>
      <w:r>
        <w:rPr>
          <w:bCs/>
        </w:rPr>
        <w:t xml:space="preserve"> [12, 13</w:t>
      </w:r>
      <w:r>
        <w:rPr/>
        <w:t>] и используется для лечения гипертонической болезни.</w:t>
      </w:r>
    </w:p>
    <w:p>
      <w:pPr>
        <w:pStyle w:val="Normal"/>
        <w:spacing w:lineRule="auto" w:line="480"/>
        <w:ind w:firstLine="708"/>
        <w:jc w:val="both"/>
        <w:rPr/>
      </w:pPr>
      <w:r>
        <w:rPr/>
        <w:t>Цифры диастолического артериального давления у женщин в основной группе после лечения достоверно не различались по сравнению с аналогичными показателями до лечения (</w:t>
      </w:r>
      <w:r>
        <w:rPr>
          <w:lang w:val="en-US"/>
        </w:rPr>
        <w:t>p</w:t>
      </w:r>
      <w:r>
        <w:rPr/>
        <w:t>&gt;0,05 во всех случаях). В контрольной группе не было выявлено достоверных различий в показателях систолического и диастолического артериального давления до и после лечения (</w:t>
      </w:r>
      <w:r>
        <w:rPr>
          <w:lang w:val="en-US"/>
        </w:rPr>
        <w:t>p</w:t>
      </w:r>
      <w:r>
        <w:rPr/>
        <w:t>&gt;0,05).</w:t>
      </w:r>
    </w:p>
    <w:p>
      <w:pPr>
        <w:pStyle w:val="Normal"/>
        <w:spacing w:lineRule="auto" w:line="480"/>
        <w:ind w:firstLine="708"/>
        <w:jc w:val="both"/>
        <w:rPr/>
      </w:pPr>
      <w:r>
        <w:rPr/>
        <w:t>Общая магнитотерапии оказала преимущественное воздействие на нейровегетативные и психоэмоциональные составляющие симптомокомплекса больных КС. Средний показатель индекса Куппермана после лечения у пациенток основной группы достоверно уменьшился и составил 10,4±0,8 баллов (р&lt;0,05), что соответствует легкой степени тяжести патологии. Процедуры ОМТ хорошо переносились и не сопровождались побочными эффектами. В контроле снижение индекса Куппермана было менее значительным.</w:t>
      </w:r>
    </w:p>
    <w:p>
      <w:pPr>
        <w:pStyle w:val="Normal"/>
        <w:spacing w:lineRule="auto" w:line="480"/>
        <w:jc w:val="both"/>
        <w:rPr>
          <w:b/>
          <w:b/>
        </w:rPr>
      </w:pPr>
      <w:r>
        <w:rPr/>
        <w:tab/>
      </w:r>
      <w:r>
        <w:rPr>
          <w:b/>
        </w:rPr>
        <w:t>Заключение.</w:t>
      </w:r>
      <w:r>
        <w:rPr/>
        <w:t xml:space="preserve"> Таким образом, нами было еще раз показано, что г</w:t>
      </w:r>
      <w:r>
        <w:rPr>
          <w:color w:val="000000"/>
        </w:rPr>
        <w:t>омеостаз пациенток с КС характеризуется избыточной активностью липопероксидации при сниженном потенциале антиоксидантной системы защиты, что согласуется с данными литературы. Использованная в нашей работе методика общей магнитотерапии продемонстрировала свою эффективность в отношении как клинических проявлений заболевания, так и измененных показателей ПОЛ-АОСЗ, что имеет важное патогенетическое значение для успеха лечения.</w:t>
      </w:r>
    </w:p>
    <w:p>
      <w:pPr>
        <w:pStyle w:val="Normal"/>
        <w:spacing w:lineRule="auto" w:line="480"/>
        <w:ind w:firstLine="720"/>
        <w:jc w:val="center"/>
        <w:rPr>
          <w:b/>
          <w:b/>
          <w:color w:val="000000"/>
        </w:rPr>
      </w:pPr>
      <w:r>
        <w:rPr>
          <w:b/>
          <w:color w:val="000000"/>
        </w:rPr>
        <w:t>Литература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480"/>
        <w:ind w:left="720" w:hanging="720"/>
        <w:jc w:val="both"/>
        <w:rPr/>
      </w:pPr>
      <w:r>
        <w:rPr/>
        <w:t>Вихляева Е.М. //Климактерический синдром. Руководство по эндокринной гинекологии. М: МИА 2000. - С. 603-650.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480"/>
        <w:ind w:left="720" w:hanging="720"/>
        <w:jc w:val="both"/>
        <w:rPr>
          <w:color w:val="000000"/>
        </w:rPr>
      </w:pPr>
      <w:r>
        <w:rPr/>
        <w:t>Кулаков В.И., Сметник В.П. //Руководство по климактерию. - М. 2001. – 685 с.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480"/>
        <w:ind w:left="720" w:hanging="720"/>
        <w:jc w:val="both"/>
        <w:rPr/>
      </w:pPr>
      <w:r>
        <w:rPr>
          <w:color w:val="000000"/>
        </w:rPr>
        <w:t>Практическая гинекология /Под ред. В.И.Кулакова и В.Н. Прилепской. - М.: МЕДпресс-информ, 2002. – 720 с.</w:t>
      </w:r>
    </w:p>
    <w:p>
      <w:pPr>
        <w:pStyle w:val="Normal"/>
        <w:numPr>
          <w:ilvl w:val="0"/>
          <w:numId w:val="1"/>
        </w:numPr>
        <w:shd w:fill="FFFFFF" w:val="clear"/>
        <w:tabs>
          <w:tab w:val="clear" w:pos="708"/>
        </w:tabs>
        <w:spacing w:lineRule="auto" w:line="480"/>
        <w:ind w:left="720" w:right="-6" w:hanging="720"/>
        <w:jc w:val="both"/>
        <w:rPr/>
      </w:pPr>
      <w:r>
        <w:rPr/>
        <w:t>Зайдиева Я.З. Новые возможности лечения климактерических расстройств в постменопаузе // Гинекология. – 2003. – Т.5, №1. – С. 10-15.</w:t>
      </w:r>
    </w:p>
    <w:p>
      <w:pPr>
        <w:pStyle w:val="Normal"/>
        <w:numPr>
          <w:ilvl w:val="0"/>
          <w:numId w:val="1"/>
        </w:numPr>
        <w:shd w:fill="FFFFFF" w:val="clear"/>
        <w:tabs>
          <w:tab w:val="clear" w:pos="708"/>
        </w:tabs>
        <w:spacing w:lineRule="auto" w:line="480"/>
        <w:ind w:left="720" w:right="-6" w:hanging="720"/>
        <w:jc w:val="both"/>
        <w:rPr/>
      </w:pPr>
      <w:r>
        <w:rPr/>
        <w:t xml:space="preserve">Сметник В.П. Медицина климактерия – Ярославль: ООО «Издательство Литера», 2006. – 848 с. </w:t>
      </w:r>
    </w:p>
    <w:p>
      <w:pPr>
        <w:pStyle w:val="Normal"/>
        <w:numPr>
          <w:ilvl w:val="0"/>
          <w:numId w:val="1"/>
        </w:numPr>
        <w:shd w:fill="FFFFFF" w:val="clear"/>
        <w:tabs>
          <w:tab w:val="clear" w:pos="708"/>
        </w:tabs>
        <w:spacing w:lineRule="auto" w:line="480"/>
        <w:ind w:left="720" w:right="-6" w:hanging="720"/>
        <w:jc w:val="both"/>
        <w:rPr/>
      </w:pPr>
      <w:r>
        <w:rPr/>
        <w:t xml:space="preserve">Сметник В.П., С.Н. Карелина В.П. Альтернативные пути коррекции климактерических расстройств //Климактерий. – 2004. - №4. - С. 3-6. </w:t>
      </w:r>
    </w:p>
    <w:p>
      <w:pPr>
        <w:pStyle w:val="Normal"/>
        <w:numPr>
          <w:ilvl w:val="0"/>
          <w:numId w:val="1"/>
        </w:numPr>
        <w:shd w:fill="FFFFFF" w:val="clear"/>
        <w:tabs>
          <w:tab w:val="clear" w:pos="708"/>
        </w:tabs>
        <w:spacing w:lineRule="auto" w:line="480"/>
        <w:ind w:left="720" w:right="-6" w:hanging="720"/>
        <w:jc w:val="both"/>
        <w:rPr/>
      </w:pPr>
      <w:r>
        <w:rPr>
          <w:color w:val="000000"/>
        </w:rPr>
        <w:t>Сметник В.П., Тумилович Л.Г. Неоперативная гинекология. М: МИА 2000. – 591 с.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shd w:fill="FFFFFF" w:val="clear"/>
        <w:tabs>
          <w:tab w:val="clear" w:pos="708"/>
        </w:tabs>
        <w:spacing w:lineRule="auto" w:line="480"/>
        <w:ind w:left="720" w:right="-6" w:hanging="720"/>
        <w:jc w:val="both"/>
        <w:rPr/>
      </w:pPr>
      <w:r>
        <w:rPr/>
        <w:t xml:space="preserve">Тихомиров А.Л., Манухин И.Б., Лубнин Д.М. и соавт. Коррекция нейровегетативных и психоэмоциональных проявлений климактерического синдрома /Материалы </w:t>
      </w:r>
      <w:r>
        <w:rPr>
          <w:lang w:val="en-US"/>
        </w:rPr>
        <w:t>IV</w:t>
      </w:r>
      <w:r>
        <w:rPr/>
        <w:t xml:space="preserve"> </w:t>
      </w:r>
      <w:r>
        <w:rPr>
          <w:lang w:val="en-US"/>
        </w:rPr>
        <w:t>C</w:t>
      </w:r>
      <w:r>
        <w:rPr/>
        <w:t>ъезда акушеров-гинекологов России. – М., 2008 – С. 500-501.</w:t>
      </w:r>
    </w:p>
    <w:p>
      <w:pPr>
        <w:pStyle w:val="Normal"/>
        <w:numPr>
          <w:ilvl w:val="0"/>
          <w:numId w:val="1"/>
        </w:numPr>
        <w:shd w:fill="FFFFFF" w:val="clear"/>
        <w:tabs>
          <w:tab w:val="clear" w:pos="708"/>
        </w:tabs>
        <w:spacing w:lineRule="auto" w:line="480"/>
        <w:ind w:left="720" w:right="-6" w:hanging="720"/>
        <w:jc w:val="both"/>
        <w:rPr/>
      </w:pPr>
      <w:r>
        <w:rPr/>
        <w:t xml:space="preserve">Емельянова О.В., Горин В.С., Резниченко Е.В., Кугушев А.В. Антигомотоксическая терапия климактерического синдрома /Материалы </w:t>
      </w:r>
      <w:r>
        <w:rPr>
          <w:lang w:val="en-US"/>
        </w:rPr>
        <w:t>IV</w:t>
      </w:r>
      <w:r>
        <w:rPr/>
        <w:t xml:space="preserve"> </w:t>
      </w:r>
      <w:r>
        <w:rPr>
          <w:lang w:val="en-US"/>
        </w:rPr>
        <w:t>C</w:t>
      </w:r>
      <w:r>
        <w:rPr/>
        <w:t>ъезда акушеров-гинекологов России. – М., 2008 – С. 352-353.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480"/>
        <w:ind w:left="720" w:hanging="720"/>
        <w:jc w:val="both"/>
        <w:rPr/>
      </w:pPr>
      <w:r>
        <w:rPr/>
        <w:t>Абусуева З.А., Коробейников А.П., Стрижова Н.В. и др. Интенсивность перекисного окисления липидов при заболеваниях молочной железы и их состояние при проведении заместительной гормональной терапии //Акуш. и гинек. – 2006. - №1. – С. 48-50.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480"/>
        <w:ind w:left="720" w:hanging="720"/>
        <w:jc w:val="both"/>
        <w:rPr/>
      </w:pPr>
      <w:r>
        <w:rPr/>
        <w:t>Багирова Х.Г., Бурмистров А.Л. Воздействие общей магнитотерапии на состояние перекисного окисления липидов и антиоксидантной системы защиты у больных после гинекологических операций //Курортные ведомости. - 2006. - №1. - С. 42.</w:t>
      </w:r>
    </w:p>
    <w:p>
      <w:pPr>
        <w:pStyle w:val="Normal"/>
        <w:numPr>
          <w:ilvl w:val="0"/>
          <w:numId w:val="1"/>
        </w:numPr>
        <w:shd w:fill="FFFFFF" w:val="clear"/>
        <w:tabs>
          <w:tab w:val="clear" w:pos="708"/>
        </w:tabs>
        <w:spacing w:lineRule="auto" w:line="480"/>
        <w:ind w:left="720" w:right="-6" w:hanging="720"/>
        <w:jc w:val="both"/>
        <w:rPr/>
      </w:pPr>
      <w:r>
        <w:rPr>
          <w:bCs/>
        </w:rPr>
        <w:t>Голохвастова Г.С. Оценка эффективности общесистемной магнитотерапии //Низкоэнергетическая магнитотерапия: опыт клинического применения и перспективы развития</w:t>
      </w:r>
      <w:r>
        <w:rPr/>
        <w:t>: Материалы</w:t>
      </w:r>
      <w:r>
        <w:rPr>
          <w:bCs/>
        </w:rPr>
        <w:t xml:space="preserve"> </w:t>
      </w:r>
      <w:r>
        <w:rPr/>
        <w:t xml:space="preserve">Российской науч.-прак. конференции, </w:t>
      </w:r>
      <w:r>
        <w:rPr>
          <w:bCs/>
        </w:rPr>
        <w:t>Москва, 1998 – С. 8.</w:t>
      </w:r>
    </w:p>
    <w:p>
      <w:pPr>
        <w:pStyle w:val="Normal"/>
        <w:numPr>
          <w:ilvl w:val="0"/>
          <w:numId w:val="1"/>
        </w:numPr>
        <w:shd w:fill="FFFFFF" w:val="clear"/>
        <w:tabs>
          <w:tab w:val="clear" w:pos="708"/>
        </w:tabs>
        <w:spacing w:lineRule="auto" w:line="480"/>
        <w:ind w:left="720" w:right="-6" w:hanging="720"/>
        <w:jc w:val="both"/>
        <w:rPr/>
      </w:pPr>
      <w:r>
        <w:rPr>
          <w:bCs/>
        </w:rPr>
        <w:t>Смирнова С.Н. Лечебное применение вращающегося магнитного поля //Низкоэнергетическая магнитотерапия: опыт клинического применения и перспективы развития</w:t>
      </w:r>
      <w:r>
        <w:rPr/>
        <w:t xml:space="preserve">: Материалы Российской науч.-прак. конференции, </w:t>
      </w:r>
      <w:r>
        <w:rPr>
          <w:bCs/>
        </w:rPr>
        <w:t xml:space="preserve">Москва, 1998 – С. </w:t>
      </w:r>
      <w:r>
        <w:rPr/>
        <w:t>17-18.</w:t>
      </w:r>
    </w:p>
    <w:p>
      <w:pPr>
        <w:pStyle w:val="Normal"/>
        <w:shd w:fill="FFFFFF" w:val="clear"/>
        <w:spacing w:lineRule="auto" w:line="480"/>
        <w:ind w:right="-6" w:hanging="0"/>
        <w:jc w:val="both"/>
        <w:rPr/>
      </w:pPr>
      <w:r>
        <w:rPr/>
      </w:r>
    </w:p>
    <w:p>
      <w:pPr>
        <w:pStyle w:val="TextBody"/>
        <w:spacing w:lineRule="auto" w:line="480"/>
        <w:ind w:firstLine="720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spacing w:lineRule="auto" w:line="480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spacing w:lineRule="auto" w:line="480"/>
        <w:jc w:val="both"/>
        <w:rPr/>
      </w:pPr>
      <w:r>
        <w:rPr/>
      </w:r>
    </w:p>
    <w:p>
      <w:pPr>
        <w:pStyle w:val="Normal"/>
        <w:spacing w:lineRule="auto" w:line="480"/>
        <w:jc w:val="both"/>
        <w:rPr/>
      </w:pPr>
      <w:r>
        <w:rPr/>
      </w:r>
    </w:p>
    <w:p>
      <w:pPr>
        <w:pStyle w:val="Normal"/>
        <w:spacing w:lineRule="auto" w:line="480"/>
        <w:jc w:val="both"/>
        <w:rPr/>
      </w:pPr>
      <w:r>
        <w:rPr/>
      </w:r>
    </w:p>
    <w:p>
      <w:pPr>
        <w:pStyle w:val="Normal"/>
        <w:shd w:fill="FFFFFF" w:val="clear"/>
        <w:spacing w:lineRule="auto" w:line="480"/>
        <w:ind w:right="22" w:hanging="0"/>
        <w:jc w:val="center"/>
        <w:rPr/>
      </w:pPr>
      <w:r>
        <w:rPr/>
      </w:r>
    </w:p>
    <w:p>
      <w:pPr>
        <w:pStyle w:val="Normal"/>
        <w:shd w:fill="FFFFFF" w:val="clear"/>
        <w:spacing w:lineRule="auto" w:line="480"/>
        <w:ind w:right="22" w:hanging="0"/>
        <w:jc w:val="center"/>
        <w:rPr/>
      </w:pPr>
      <w:r>
        <w:rPr/>
      </w:r>
    </w:p>
    <w:p>
      <w:pPr>
        <w:pStyle w:val="Normal"/>
        <w:shd w:fill="FFFFFF" w:val="clear"/>
        <w:spacing w:lineRule="auto" w:line="480"/>
        <w:ind w:right="22" w:hanging="0"/>
        <w:jc w:val="center"/>
        <w:rPr/>
      </w:pPr>
      <w:r>
        <w:rPr/>
      </w:r>
    </w:p>
    <w:p>
      <w:pPr>
        <w:pStyle w:val="Normal"/>
        <w:shd w:fill="FFFFFF" w:val="clear"/>
        <w:spacing w:lineRule="auto" w:line="480"/>
        <w:ind w:right="22" w:hanging="0"/>
        <w:jc w:val="center"/>
        <w:rPr/>
      </w:pPr>
      <w:r>
        <w:rPr/>
      </w:r>
    </w:p>
    <w:p>
      <w:pPr>
        <w:pStyle w:val="Normal"/>
        <w:spacing w:lineRule="auto" w:line="480"/>
        <w:rPr/>
      </w:pPr>
      <w:r>
        <w:rPr/>
      </w:r>
    </w:p>
    <w:p>
      <w:pPr>
        <w:pStyle w:val="Normal"/>
        <w:spacing w:lineRule="auto" w:line="480"/>
        <w:rPr/>
      </w:pPr>
      <w:r>
        <w:rPr/>
      </w:r>
    </w:p>
    <w:sectPr>
      <w:footerReference w:type="default" r:id="rId2"/>
      <w:type w:val="nextPage"/>
      <w:pgSz w:w="11906" w:h="16838"/>
      <w:pgMar w:left="720" w:right="720" w:gutter="0" w:header="0" w:top="720" w:footer="708" w:bottom="7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517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>
      <w:b w:val="false"/>
      <w:sz w:val="28"/>
      <w:szCs w:val="28"/>
    </w:rPr>
  </w:style>
  <w:style w:type="character" w:styleId="Style14">
    <w:name w:val="Основной шрифт абзаца"/>
    <w:qFormat/>
    <w:rPr/>
  </w:style>
  <w:style w:type="character" w:styleId="PageNumber">
    <w:name w:val="Page Number"/>
    <w:basedOn w:val="Style14"/>
    <w:rPr/>
  </w:style>
  <w:style w:type="character" w:styleId="HTML">
    <w:name w:val="Пишущая машинка HTML"/>
    <w:qFormat/>
    <w:rPr>
      <w:rFonts w:ascii="Courier New" w:hAnsi="Courier New" w:eastAsia="Times New Roman" w:cs="Courier New"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360"/>
      <w:jc w:val="both"/>
    </w:pPr>
    <w:rPr>
      <w:sz w:val="28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3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LibreOffice/7.4.7.2$Linux_X86_64 LibreOffice_project/40$Build-2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2009-09-21T09:47:00Z</dcterms:created>
  <dc:creator>Nemo</dc:creator>
  <dc:description/>
  <cp:keywords/>
  <dc:language>en-US</dc:language>
  <cp:lastModifiedBy>Шаткова Анна</cp:lastModifiedBy>
  <dcterms:modified xsi:type="dcterms:W3CDTF">2023-03-31T13:39:00Z</dcterms:modified>
  <cp:revision>13</cp:revision>
  <dc:subject/>
  <dc:title>Н</dc:title>
</cp:coreProperties>
</file>