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spacing w:before="0" w:after="280"/>
        <w:rPr/>
      </w:pPr>
      <w:r>
        <w:rPr/>
        <w:t xml:space="preserve">ПРОФИЛАКТИКА МЕСТНЫХ ЛУЧЕВЫХ РЕАКЦИЙ ПУТЕМ ИСПОЛЬЗОВАНИЯ ОБЩЕИ </w:t>
      </w:r>
      <w:r>
        <w:rPr>
          <w:b/>
          <w:bCs/>
        </w:rPr>
        <w:t>МАГНИТОТЕРАПИИ</w:t>
      </w:r>
      <w:r>
        <w:rPr/>
        <w:t xml:space="preserve"> ПРИ ЛУЧЕВОМ ЛЕЧЕНИИ ОПУХОЛЕЙ МОЧЕВОГО ПУЗЫРЯ И ПРЕДСТАТЕЛЬНОИ ЖЕЛЕЗЫ А.Ф. Лазарев, С.С. Глотов, А.П. Алексенцев, С.А. Варламов, В.Т. Голубцов г. Барнаул </w:t>
      </w:r>
    </w:p>
    <w:p>
      <w:pPr>
        <w:pStyle w:val="Style15"/>
        <w:rPr/>
      </w:pPr>
      <w:r>
        <w:rPr/>
        <w:t xml:space="preserve">Лучевая терапия злокачественных новообразований в последнее десятилетие, в связи с необходимостью применения данного метода лечения у 70-80% онкобольных, претерпела большие изменения, которые позволили значительно расширить показания к ее использованию и улучшить результаты лечения. </w:t>
      </w:r>
    </w:p>
    <w:p>
      <w:pPr>
        <w:pStyle w:val="Style15"/>
        <w:rPr/>
      </w:pPr>
      <w:r>
        <w:rPr/>
        <w:t xml:space="preserve">Роль ионизизирующих излучений в комплексной терапии неоднозначна и определяется, прежде всего, видом злокачественных новообразований, стадией и распространенностью заболеваний </w:t>
      </w:r>
    </w:p>
    <w:p>
      <w:pPr>
        <w:pStyle w:val="Style15"/>
        <w:rPr/>
      </w:pPr>
      <w:r>
        <w:rPr/>
        <w:t xml:space="preserve">Применение дистанционных методов лучевой терапии (ДЛТ) при лечении больных с опухолями мочевого пузыря и предстательной железы часто сопровождается ранними лучевыми реакциями (как общими, так и местными). Это вынуждает делать незапланированные перерывы в ходе курса лучевой терапии, в связи с этим эффективность ДЛТ снижается, в некоторых случаях вплоть до отказа в дальнейшем лечении. </w:t>
      </w:r>
    </w:p>
    <w:p>
      <w:pPr>
        <w:pStyle w:val="Style15"/>
        <w:rPr/>
      </w:pPr>
      <w:r>
        <w:rPr/>
        <w:t xml:space="preserve">Это заставляет искать новые возможности радиопротекции нормальных тканей, их усовершенствование. </w:t>
      </w:r>
    </w:p>
    <w:p>
      <w:pPr>
        <w:pStyle w:val="Style15"/>
        <w:rPr/>
      </w:pPr>
      <w:r>
        <w:rPr/>
        <w:t xml:space="preserve">В Алтайском краевом онкологическом диспансере при проведении курсов ДЛТ с 1998 г., с целью уменьшения лучевых реакций (радиопротекции), пациентам практически со всеми локализациями опухолей проводится </w:t>
      </w:r>
      <w:r>
        <w:rPr>
          <w:b/>
          <w:bCs/>
        </w:rPr>
        <w:t>магнитотерапия</w:t>
      </w:r>
      <w:r>
        <w:rPr/>
        <w:t xml:space="preserve"> на физиотерапевтическом комплексе "Магнитор АМП". </w:t>
      </w:r>
    </w:p>
    <w:tbl>
      <w:tblPr>
        <w:tblW w:w="9445" w:type="dxa"/>
        <w:jc w:val="left"/>
        <w:tblInd w:w="-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5"/>
      </w:tblGrid>
      <w:tr>
        <w:trPr/>
        <w:tc>
          <w:tcPr>
            <w:tcW w:w="9445" w:type="dxa"/>
            <w:tcBorders/>
            <w:vAlign w:val="center"/>
          </w:tcPr>
          <w:tbl>
            <w:tblPr>
              <w:tblW w:w="9355" w:type="dxa"/>
              <w:jc w:val="left"/>
              <w:tblInd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5812"/>
              <w:gridCol w:w="762"/>
              <w:gridCol w:w="762"/>
              <w:gridCol w:w="762"/>
              <w:gridCol w:w="762"/>
              <w:gridCol w:w="495"/>
            </w:tblGrid>
            <w:tr>
              <w:trPr/>
              <w:tc>
                <w:tcPr>
                  <w:tcW w:w="5812" w:type="dxa"/>
                  <w:tcBorders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Arial Unicode MS" w:hAnsi="Arial Unicode MS" w:eastAsia="Arial Unicode MS" w:cs="Arial Unicode MS"/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ВСЕГО </w:t>
                  </w:r>
                </w:p>
              </w:tc>
              <w:tc>
                <w:tcPr>
                  <w:tcW w:w="762" w:type="dxa"/>
                  <w:tcBorders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Arial Unicode MS" w:hAnsi="Arial Unicode MS" w:eastAsia="Arial Unicode MS" w:cs="Arial Unicode MS"/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1998 г </w:t>
                  </w:r>
                </w:p>
              </w:tc>
              <w:tc>
                <w:tcPr>
                  <w:tcW w:w="762" w:type="dxa"/>
                  <w:tcBorders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Arial Unicode MS" w:hAnsi="Arial Unicode MS" w:eastAsia="Arial Unicode MS" w:cs="Arial Unicode MS"/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1999 г </w:t>
                  </w:r>
                </w:p>
              </w:tc>
              <w:tc>
                <w:tcPr>
                  <w:tcW w:w="762" w:type="dxa"/>
                  <w:tcBorders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Arial Unicode MS" w:hAnsi="Arial Unicode MS" w:eastAsia="Arial Unicode MS" w:cs="Arial Unicode MS"/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2000 г </w:t>
                  </w:r>
                </w:p>
              </w:tc>
              <w:tc>
                <w:tcPr>
                  <w:tcW w:w="762" w:type="dxa"/>
                  <w:tcBorders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Arial Unicode MS" w:hAnsi="Arial Unicode MS" w:eastAsia="Arial Unicode MS" w:cs="Arial Unicode MS"/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2001 г </w:t>
                  </w:r>
                </w:p>
              </w:tc>
              <w:tc>
                <w:tcPr>
                  <w:tcW w:w="49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Normal"/>
                    <w:snapToGrid w:val="false"/>
                    <w:rPr>
                      <w:rFonts w:ascii="Arial Unicode MS" w:hAnsi="Arial Unicode MS" w:eastAsia="Arial Unicode MS" w:cs="Arial Unicode MS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 Unicode MS" w:cs="Arial Unicode MS" w:ascii="Arial Unicode MS" w:hAnsi="Arial Unicode MS"/>
                      <w:b/>
                      <w:bCs/>
                      <w:color w:val="000000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5812" w:type="dxa"/>
                  <w:tcBorders/>
                  <w:vAlign w:val="center"/>
                </w:tcPr>
                <w:p>
                  <w:pPr>
                    <w:pStyle w:val="Normal"/>
                    <w:rPr>
                      <w:rFonts w:ascii="Arial Unicode MS" w:hAnsi="Arial Unicode MS" w:eastAsia="Arial Unicode MS" w:cs="Arial Unicode MS"/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Всего больных </w:t>
                  </w:r>
                </w:p>
              </w:tc>
              <w:tc>
                <w:tcPr>
                  <w:tcW w:w="762" w:type="dxa"/>
                  <w:tcBorders/>
                  <w:vAlign w:val="center"/>
                </w:tcPr>
                <w:p>
                  <w:pPr>
                    <w:pStyle w:val="Normal"/>
                    <w:rPr>
                      <w:rFonts w:ascii="Arial Unicode MS" w:hAnsi="Arial Unicode MS" w:eastAsia="Arial Unicode MS" w:cs="Arial Unicode MS"/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681 </w:t>
                  </w:r>
                </w:p>
              </w:tc>
              <w:tc>
                <w:tcPr>
                  <w:tcW w:w="762" w:type="dxa"/>
                  <w:tcBorders/>
                  <w:vAlign w:val="center"/>
                </w:tcPr>
                <w:p>
                  <w:pPr>
                    <w:pStyle w:val="Normal"/>
                    <w:rPr>
                      <w:rFonts w:ascii="Arial Unicode MS" w:hAnsi="Arial Unicode MS" w:eastAsia="Arial Unicode MS" w:cs="Arial Unicode MS"/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127 </w:t>
                  </w:r>
                </w:p>
              </w:tc>
              <w:tc>
                <w:tcPr>
                  <w:tcW w:w="762" w:type="dxa"/>
                  <w:tcBorders/>
                  <w:vAlign w:val="center"/>
                </w:tcPr>
                <w:p>
                  <w:pPr>
                    <w:pStyle w:val="Normal"/>
                    <w:rPr>
                      <w:rFonts w:ascii="Arial Unicode MS" w:hAnsi="Arial Unicode MS" w:eastAsia="Arial Unicode MS" w:cs="Arial Unicode MS"/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140 </w:t>
                  </w:r>
                </w:p>
              </w:tc>
              <w:tc>
                <w:tcPr>
                  <w:tcW w:w="762" w:type="dxa"/>
                  <w:tcBorders/>
                  <w:vAlign w:val="center"/>
                </w:tcPr>
                <w:p>
                  <w:pPr>
                    <w:pStyle w:val="Normal"/>
                    <w:rPr>
                      <w:rFonts w:ascii="Arial Unicode MS" w:hAnsi="Arial Unicode MS" w:eastAsia="Arial Unicode MS" w:cs="Arial Unicode MS"/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184 </w:t>
                  </w:r>
                </w:p>
              </w:tc>
              <w:tc>
                <w:tcPr>
                  <w:tcW w:w="495" w:type="dxa"/>
                  <w:tcBorders/>
                  <w:vAlign w:val="center"/>
                </w:tcPr>
                <w:p>
                  <w:pPr>
                    <w:pStyle w:val="Normal"/>
                    <w:rPr>
                      <w:rFonts w:ascii="Arial Unicode MS" w:hAnsi="Arial Unicode MS" w:eastAsia="Arial Unicode MS" w:cs="Arial Unicode MS"/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230 </w:t>
                  </w:r>
                </w:p>
              </w:tc>
            </w:tr>
            <w:tr>
              <w:trPr/>
              <w:tc>
                <w:tcPr>
                  <w:tcW w:w="5812" w:type="dxa"/>
                  <w:tcBorders/>
                  <w:vAlign w:val="center"/>
                </w:tcPr>
                <w:p>
                  <w:pPr>
                    <w:pStyle w:val="Normal"/>
                    <w:rPr>
                      <w:rFonts w:ascii="Arial Unicode MS" w:hAnsi="Arial Unicode MS" w:eastAsia="Arial Unicode MS" w:cs="Arial Unicode MS"/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В т.ч. с опухолями предстательной железы и мочевого пузыря </w:t>
                  </w:r>
                </w:p>
              </w:tc>
              <w:tc>
                <w:tcPr>
                  <w:tcW w:w="762" w:type="dxa"/>
                  <w:tcBorders/>
                  <w:vAlign w:val="center"/>
                </w:tcPr>
                <w:p>
                  <w:pPr>
                    <w:pStyle w:val="Normal"/>
                    <w:rPr>
                      <w:rFonts w:ascii="Arial Unicode MS" w:hAnsi="Arial Unicode MS" w:eastAsia="Arial Unicode MS" w:cs="Arial Unicode MS"/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228 </w:t>
                  </w:r>
                </w:p>
              </w:tc>
              <w:tc>
                <w:tcPr>
                  <w:tcW w:w="762" w:type="dxa"/>
                  <w:tcBorders/>
                  <w:vAlign w:val="center"/>
                </w:tcPr>
                <w:p>
                  <w:pPr>
                    <w:pStyle w:val="Normal"/>
                    <w:rPr>
                      <w:rFonts w:ascii="Arial Unicode MS" w:hAnsi="Arial Unicode MS" w:eastAsia="Arial Unicode MS" w:cs="Arial Unicode MS"/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38 </w:t>
                  </w:r>
                </w:p>
              </w:tc>
              <w:tc>
                <w:tcPr>
                  <w:tcW w:w="762" w:type="dxa"/>
                  <w:tcBorders/>
                  <w:vAlign w:val="center"/>
                </w:tcPr>
                <w:p>
                  <w:pPr>
                    <w:pStyle w:val="Normal"/>
                    <w:rPr>
                      <w:rFonts w:ascii="Arial Unicode MS" w:hAnsi="Arial Unicode MS" w:eastAsia="Arial Unicode MS" w:cs="Arial Unicode MS"/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54 </w:t>
                  </w:r>
                </w:p>
              </w:tc>
              <w:tc>
                <w:tcPr>
                  <w:tcW w:w="762" w:type="dxa"/>
                  <w:tcBorders/>
                  <w:vAlign w:val="center"/>
                </w:tcPr>
                <w:p>
                  <w:pPr>
                    <w:pStyle w:val="Normal"/>
                    <w:rPr>
                      <w:rFonts w:ascii="Arial Unicode MS" w:hAnsi="Arial Unicode MS" w:eastAsia="Arial Unicode MS" w:cs="Arial Unicode MS"/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76 </w:t>
                  </w:r>
                </w:p>
              </w:tc>
              <w:tc>
                <w:tcPr>
                  <w:tcW w:w="495" w:type="dxa"/>
                  <w:tcBorders/>
                  <w:vAlign w:val="center"/>
                </w:tcPr>
                <w:p>
                  <w:pPr>
                    <w:pStyle w:val="Normal"/>
                    <w:rPr>
                      <w:rFonts w:ascii="Arial Unicode MS" w:hAnsi="Arial Unicode MS" w:eastAsia="Arial Unicode MS" w:cs="Arial Unicode MS"/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60 </w:t>
                  </w:r>
                </w:p>
              </w:tc>
            </w:tr>
          </w:tbl>
          <w:p>
            <w:pPr>
              <w:pStyle w:val="Normal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</w:rPr>
            </w:r>
          </w:p>
        </w:tc>
      </w:tr>
    </w:tbl>
    <w:p>
      <w:pPr>
        <w:pStyle w:val="Style15"/>
        <w:rPr/>
      </w:pPr>
      <w:r>
        <w:rPr/>
        <w:t xml:space="preserve">Курс </w:t>
      </w:r>
      <w:r>
        <w:rPr>
          <w:b/>
          <w:bCs/>
        </w:rPr>
        <w:t>магнитотерапии</w:t>
      </w:r>
      <w:r>
        <w:rPr/>
        <w:t xml:space="preserve"> включал 15-20 сеансов, ежедневно в течение 15-20 мин до-, либо после проведения сеанса лучевой терапии и назначался после подведения 10-20 Гр. с учетом фактора ВДФ. </w:t>
      </w:r>
    </w:p>
    <w:p>
      <w:pPr>
        <w:pStyle w:val="Style15"/>
        <w:rPr/>
      </w:pPr>
      <w:r>
        <w:rPr>
          <w:b/>
          <w:bCs/>
        </w:rPr>
        <w:t>Магнитотерапия</w:t>
      </w:r>
      <w:r>
        <w:rPr/>
        <w:t xml:space="preserve"> проводилась в статическом режиме, позволяющем проводить индивидуальный подбор лечения. При злокачественных опухолях мочевого пузыря и простаты частота магнитного поля составляла 81-100 Гц, напряжение - 10-25 эрстед, время нарастания и спада 30 секунд, форма магнитного поля - синусоидальный полупериод. </w:t>
      </w:r>
    </w:p>
    <w:p>
      <w:pPr>
        <w:pStyle w:val="Style15"/>
        <w:rPr/>
      </w:pPr>
      <w:r>
        <w:rPr/>
        <w:t xml:space="preserve">Курс дистанционной лучевой терапии осуществлялся в разных режимах фракционирования: традиционный, динамический; укрупненное применялось как в самостоятельном, так и комплекс-ном/комбинированном лечении. </w:t>
      </w:r>
    </w:p>
    <w:p>
      <w:pPr>
        <w:pStyle w:val="Style15"/>
        <w:rPr/>
      </w:pPr>
      <w:r>
        <w:rPr/>
        <w:t xml:space="preserve">Основная группа, прошедшая курс ДЛТ с обшей </w:t>
      </w:r>
      <w:r>
        <w:rPr>
          <w:b/>
          <w:bCs/>
        </w:rPr>
        <w:t>магнитотерапией</w:t>
      </w:r>
      <w:r>
        <w:rPr/>
        <w:t xml:space="preserve"> состояла из 228 человек со злокачественными опухолями мочевого пузыря и предстательной железы. </w:t>
      </w:r>
    </w:p>
    <w:p>
      <w:pPr>
        <w:pStyle w:val="Style15"/>
        <w:rPr/>
      </w:pPr>
      <w:r>
        <w:rPr/>
        <w:t xml:space="preserve">Контрольная группа больных, прошедших ДЛТ без </w:t>
      </w:r>
      <w:r>
        <w:rPr>
          <w:b/>
          <w:bCs/>
        </w:rPr>
        <w:t>магнитотерапии</w:t>
      </w:r>
      <w:r>
        <w:rPr/>
        <w:t xml:space="preserve"> состояла из 136 пациентов и была сопоставима по структуре и методам лечения с основной. </w:t>
      </w:r>
    </w:p>
    <w:p>
      <w:pPr>
        <w:pStyle w:val="Style15"/>
        <w:rPr/>
      </w:pPr>
      <w:r>
        <w:rPr/>
        <w:t xml:space="preserve">У всех больных, получавших лучевое лечение на фоне </w:t>
      </w:r>
      <w:r>
        <w:rPr>
          <w:b/>
          <w:bCs/>
        </w:rPr>
        <w:t>магнитотерапии</w:t>
      </w:r>
      <w:r>
        <w:rPr/>
        <w:t xml:space="preserve"> отмечалась удовлетворительная переносимость лечения, побочных реакций со стороны желудочно-кишечного тракта не было. Гематологических отклонений не зарегистрировано. У 50% больных умеренно выраженные лучевые реакции со стороны слизистой мочевого пузыря и прямой кишки наступали при подведении суммарной очаговой дозы 46-50 Гр и не препятствовали окончанию курса лечения без запланированного перерыва. </w:t>
      </w:r>
    </w:p>
    <w:p>
      <w:pPr>
        <w:pStyle w:val="Style15"/>
        <w:rPr/>
      </w:pPr>
      <w:r>
        <w:rPr/>
        <w:t xml:space="preserve">В контрольной группе практически всем больным курс ДЛТ был проведен с расщеплением, т.к. к СОД 36-40 Гр были зарегистрированы выраженные реакции со стороны мочевого пузыря и прямой кишки (у 3-х пациентов - геморрагический цистит, 1 - ректит). </w:t>
      </w:r>
    </w:p>
    <w:p>
      <w:pPr>
        <w:pStyle w:val="Style15"/>
        <w:rPr/>
      </w:pPr>
      <w:r>
        <w:rPr/>
        <w:t xml:space="preserve">Таким образом, применение общей </w:t>
      </w:r>
      <w:r>
        <w:rPr>
          <w:b/>
          <w:bCs/>
        </w:rPr>
        <w:t>магнитотерапии</w:t>
      </w:r>
      <w:r>
        <w:rPr/>
        <w:t xml:space="preserve"> при проведении курса дистанционной лучевой терапии у больных со злокачественными опухолями мочевого пузыря и предстательной железы уменьшает местную лучевую реакцию, что позволяет подвести запланированную СОД, улучшить переносимость лучевой терапии.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pacing w:val="20"/>
      <w:sz w:val="24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15">
    <w:name w:val="Обычный (Интернет)"/>
    <w:basedOn w:val="Normal"/>
    <w:qFormat/>
    <w:pPr>
      <w:spacing w:before="280" w:after="280"/>
    </w:pPr>
    <w:rPr>
      <w:rFonts w:ascii="Arial Unicode MS" w:hAnsi="Arial Unicode MS" w:eastAsia="Arial Unicode MS" w:cs="Arial Unicode MS"/>
      <w:color w:val="000000"/>
      <w:spacing w:val="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2003-01-31T15:54:00Z</dcterms:created>
  <dc:creator>Бурминистров</dc:creator>
  <dc:description/>
  <cp:keywords/>
  <dc:language>en-US</dc:language>
  <cp:lastModifiedBy>Шаткова Анна</cp:lastModifiedBy>
  <dcterms:modified xsi:type="dcterms:W3CDTF">2025-09-01T15:15:00Z</dcterms:modified>
  <cp:revision>3</cp:revision>
  <dc:subject/>
  <dc:title>ПРОФИЛАКТИКА МЕСТНЫХ ЛУЧЕВЫХ РЕАКЦИЙ ПУТЕМ ИСПОЛЬЗОВАНИЯ ОБЩЕИ МАГНИТОТЕРАПИИ ПРИ ЛУЧЕВОМ ЛЕЧЕНИИ ОПУХОЛЕЙ МОЧЕВОГО ПУЗЫРЯ И П</dc:title>
</cp:coreProperties>
</file>